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B888" w14:textId="75E207A9" w:rsidR="00F30593" w:rsidRDefault="00F30593" w:rsidP="00F30593">
      <w:pPr>
        <w:jc w:val="center"/>
      </w:pPr>
      <w:r>
        <w:rPr>
          <w:noProof/>
        </w:rPr>
        <w:drawing>
          <wp:inline distT="0" distB="0" distL="0" distR="0" wp14:anchorId="7B4CE3FE" wp14:editId="1ACABF54">
            <wp:extent cx="3048000" cy="2680970"/>
            <wp:effectExtent l="0" t="0" r="0" b="0"/>
            <wp:docPr id="1" name="Picture 1" descr="A diagram of health issu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health issu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BB152" w14:textId="77777777" w:rsidR="00F30593" w:rsidRDefault="00F30593" w:rsidP="00F30593">
      <w:pPr>
        <w:jc w:val="center"/>
      </w:pPr>
    </w:p>
    <w:p w14:paraId="31D98C78" w14:textId="5A11A2AA" w:rsidR="00471826" w:rsidRDefault="00F30593" w:rsidP="00F30593">
      <w:pPr>
        <w:jc w:val="center"/>
        <w:rPr>
          <w:b/>
          <w:bCs/>
        </w:rPr>
      </w:pPr>
      <w:r w:rsidRPr="00471826">
        <w:rPr>
          <w:b/>
          <w:bCs/>
        </w:rPr>
        <w:t xml:space="preserve"> Public Health Leaders’ Conference </w:t>
      </w:r>
      <w:r w:rsidR="00471826" w:rsidRPr="00EF28DD">
        <w:rPr>
          <w:b/>
          <w:bCs/>
          <w:color w:val="FF0000"/>
        </w:rPr>
        <w:t>Draft</w:t>
      </w:r>
      <w:r w:rsidR="00471826">
        <w:rPr>
          <w:b/>
          <w:bCs/>
        </w:rPr>
        <w:t xml:space="preserve"> </w:t>
      </w:r>
      <w:r w:rsidRPr="00471826">
        <w:rPr>
          <w:b/>
          <w:bCs/>
        </w:rPr>
        <w:t>Agenda</w:t>
      </w:r>
    </w:p>
    <w:p w14:paraId="2F38B6ED" w14:textId="73056AA7" w:rsidR="00471826" w:rsidRDefault="00471826" w:rsidP="00F30593">
      <w:pPr>
        <w:jc w:val="center"/>
        <w:rPr>
          <w:b/>
          <w:bCs/>
        </w:rPr>
      </w:pPr>
      <w:r>
        <w:rPr>
          <w:b/>
          <w:bCs/>
        </w:rPr>
        <w:t>March 13-14, 2025</w:t>
      </w:r>
    </w:p>
    <w:p w14:paraId="0CC8C766" w14:textId="6793E157" w:rsidR="00471826" w:rsidRPr="00471826" w:rsidRDefault="00471826" w:rsidP="00F30593">
      <w:pPr>
        <w:jc w:val="center"/>
        <w:rPr>
          <w:b/>
          <w:bCs/>
        </w:rPr>
      </w:pPr>
      <w:r>
        <w:rPr>
          <w:b/>
          <w:bCs/>
        </w:rPr>
        <w:t>Embassy Suites Raleigh/Durham/Research Triangle</w:t>
      </w:r>
    </w:p>
    <w:p w14:paraId="720BA8A9" w14:textId="44525168" w:rsidR="00F30593" w:rsidRDefault="00F30593" w:rsidP="00F30593">
      <w:pPr>
        <w:jc w:val="center"/>
      </w:pPr>
    </w:p>
    <w:p w14:paraId="27B9AC55" w14:textId="68933167" w:rsidR="00471826" w:rsidRDefault="00471826" w:rsidP="00F30593">
      <w:pPr>
        <w:rPr>
          <w:b/>
          <w:bCs/>
        </w:rPr>
      </w:pPr>
      <w:r>
        <w:rPr>
          <w:b/>
          <w:bCs/>
        </w:rPr>
        <w:t xml:space="preserve">Breakfast 7:30 am </w:t>
      </w:r>
    </w:p>
    <w:p w14:paraId="56654692" w14:textId="77777777" w:rsidR="00471826" w:rsidRDefault="00471826" w:rsidP="00F30593">
      <w:pPr>
        <w:rPr>
          <w:b/>
          <w:bCs/>
        </w:rPr>
      </w:pPr>
    </w:p>
    <w:p w14:paraId="2509DFEB" w14:textId="69BC9ED5" w:rsidR="00F30593" w:rsidRPr="00471826" w:rsidRDefault="00F30593" w:rsidP="00F30593">
      <w:pPr>
        <w:rPr>
          <w:b/>
          <w:bCs/>
        </w:rPr>
      </w:pPr>
      <w:r w:rsidRPr="00F30593">
        <w:rPr>
          <w:b/>
          <w:bCs/>
        </w:rPr>
        <w:t>Thursday, March 13, Opening Session</w:t>
      </w:r>
      <w:r>
        <w:t xml:space="preserve"> – </w:t>
      </w:r>
      <w:r w:rsidR="00471826">
        <w:rPr>
          <w:b/>
          <w:bCs/>
        </w:rPr>
        <w:t>9:00 am</w:t>
      </w:r>
      <w:r w:rsidR="00EF28DD">
        <w:rPr>
          <w:b/>
          <w:bCs/>
        </w:rPr>
        <w:t xml:space="preserve"> – 12:00 pm</w:t>
      </w:r>
    </w:p>
    <w:p w14:paraId="1EF66A91" w14:textId="74803261" w:rsidR="00EF28DD" w:rsidRDefault="00EF28DD" w:rsidP="00F30593">
      <w:r w:rsidRPr="00EF28DD">
        <w:t>John Auerbach, ICF International</w:t>
      </w:r>
      <w:r>
        <w:t xml:space="preserve"> – Topic - AI</w:t>
      </w:r>
    </w:p>
    <w:p w14:paraId="43708C78" w14:textId="45FA3AD8" w:rsidR="00F30593" w:rsidRDefault="00F30593" w:rsidP="00F30593">
      <w:pPr>
        <w:rPr>
          <w:i/>
          <w:iCs/>
        </w:rPr>
      </w:pPr>
      <w:r>
        <w:t>Dr. James Johnson</w:t>
      </w:r>
      <w:r w:rsidR="00534A9C">
        <w:t>, Kenan-Flagler School of Business, UNC-CH</w:t>
      </w:r>
      <w:r>
        <w:t xml:space="preserve"> – </w:t>
      </w:r>
      <w:r>
        <w:rPr>
          <w:i/>
          <w:iCs/>
        </w:rPr>
        <w:t>Leading in Certain Uncertainly</w:t>
      </w:r>
    </w:p>
    <w:p w14:paraId="6F5927B6" w14:textId="4A5562EF" w:rsidR="00471826" w:rsidRDefault="00471826" w:rsidP="00F30593">
      <w:pPr>
        <w:rPr>
          <w:i/>
          <w:iCs/>
        </w:rPr>
      </w:pPr>
    </w:p>
    <w:p w14:paraId="48C1415E" w14:textId="57E7DF21" w:rsidR="00471826" w:rsidRPr="00471826" w:rsidRDefault="00471826" w:rsidP="00F30593">
      <w:pPr>
        <w:rPr>
          <w:b/>
          <w:bCs/>
        </w:rPr>
      </w:pPr>
      <w:r w:rsidRPr="00471826">
        <w:rPr>
          <w:b/>
          <w:bCs/>
        </w:rPr>
        <w:t>Lunch Buffett</w:t>
      </w:r>
      <w:r w:rsidR="00EF28DD">
        <w:rPr>
          <w:b/>
          <w:bCs/>
        </w:rPr>
        <w:t xml:space="preserve"> – 12:00 – 1:30 pm</w:t>
      </w:r>
    </w:p>
    <w:p w14:paraId="07D9FA57" w14:textId="50658484" w:rsidR="00F30593" w:rsidRDefault="00F30593" w:rsidP="00F30593"/>
    <w:p w14:paraId="61999C89" w14:textId="753076E9" w:rsidR="00F30593" w:rsidRDefault="00F30593" w:rsidP="00F30593">
      <w:r w:rsidRPr="00F30593">
        <w:rPr>
          <w:b/>
          <w:bCs/>
        </w:rPr>
        <w:t>Thursday Breakout Topics</w:t>
      </w:r>
      <w:r>
        <w:t xml:space="preserve"> </w:t>
      </w:r>
      <w:r w:rsidRPr="00471826">
        <w:rPr>
          <w:b/>
          <w:bCs/>
        </w:rPr>
        <w:t xml:space="preserve">– </w:t>
      </w:r>
      <w:r w:rsidR="00471826" w:rsidRPr="00471826">
        <w:rPr>
          <w:b/>
          <w:bCs/>
        </w:rPr>
        <w:t>1:30 – 4:45 pm</w:t>
      </w:r>
    </w:p>
    <w:p w14:paraId="0E1AC8BD" w14:textId="6C0D3002" w:rsidR="00F30593" w:rsidRDefault="00F30593" w:rsidP="00F30593">
      <w:r w:rsidRPr="00F30593">
        <w:rPr>
          <w:b/>
          <w:bCs/>
        </w:rPr>
        <w:t>Policy Tract</w:t>
      </w:r>
      <w:r>
        <w:t xml:space="preserve"> –</w:t>
      </w:r>
    </w:p>
    <w:p w14:paraId="478C72B9" w14:textId="5C1F85AD" w:rsidR="00F30593" w:rsidRDefault="00F30593" w:rsidP="00F30593">
      <w:pPr>
        <w:pStyle w:val="ListParagraph"/>
        <w:numPr>
          <w:ilvl w:val="0"/>
          <w:numId w:val="1"/>
        </w:numPr>
      </w:pPr>
      <w:r>
        <w:t>Starting with Policy – Mecklenburg County Public Health Office of Chronic Disease Policy and Prevention</w:t>
      </w:r>
    </w:p>
    <w:p w14:paraId="0147BC80" w14:textId="664E5CFC" w:rsidR="00F30593" w:rsidRDefault="00F30593" w:rsidP="00F30593">
      <w:pPr>
        <w:pStyle w:val="ListParagraph"/>
        <w:numPr>
          <w:ilvl w:val="0"/>
          <w:numId w:val="1"/>
        </w:numPr>
      </w:pPr>
      <w:r>
        <w:t>T21 and Cannabis Panel</w:t>
      </w:r>
    </w:p>
    <w:p w14:paraId="675215F9" w14:textId="5D4EDF3E" w:rsidR="00F30593" w:rsidRDefault="00F30593" w:rsidP="00F30593">
      <w:pPr>
        <w:pStyle w:val="ListParagraph"/>
        <w:numPr>
          <w:ilvl w:val="0"/>
          <w:numId w:val="1"/>
        </w:numPr>
      </w:pPr>
      <w:r>
        <w:t>Impact of SL2024-49 on Local Environmental Health Practice</w:t>
      </w:r>
    </w:p>
    <w:p w14:paraId="35D733A7" w14:textId="77777777" w:rsidR="00EF28DD" w:rsidRDefault="00EF28DD" w:rsidP="00EF28DD"/>
    <w:p w14:paraId="714485E8" w14:textId="5056D851" w:rsidR="00F30593" w:rsidRDefault="00F30593" w:rsidP="00F30593">
      <w:pPr>
        <w:pStyle w:val="ListParagraph"/>
        <w:ind w:left="0"/>
      </w:pPr>
      <w:r>
        <w:br/>
      </w:r>
      <w:r w:rsidRPr="00F30593">
        <w:rPr>
          <w:b/>
          <w:bCs/>
        </w:rPr>
        <w:t>Community Partnership and Preparedness Tract</w:t>
      </w:r>
      <w:r>
        <w:t xml:space="preserve"> – </w:t>
      </w:r>
    </w:p>
    <w:p w14:paraId="5828CF77" w14:textId="1B7E84A5" w:rsidR="00F30593" w:rsidRDefault="00F30593" w:rsidP="00F30593">
      <w:pPr>
        <w:pStyle w:val="ListParagraph"/>
        <w:ind w:left="0"/>
      </w:pPr>
      <w:r>
        <w:br/>
        <w:t xml:space="preserve">       1.  Carolinas Poison Control and PHPR</w:t>
      </w:r>
    </w:p>
    <w:p w14:paraId="5FB3640A" w14:textId="3B3F535C" w:rsidR="00F30593" w:rsidRDefault="00F30593" w:rsidP="00F30593">
      <w:pPr>
        <w:pStyle w:val="ListParagraph"/>
        <w:ind w:left="0"/>
      </w:pPr>
      <w:r>
        <w:t xml:space="preserve">       2.  Leveraging Outreach for Emergency Preparedness</w:t>
      </w:r>
    </w:p>
    <w:p w14:paraId="076DB8E2" w14:textId="6AE800C9" w:rsidR="00F30593" w:rsidRDefault="00F30593" w:rsidP="00F30593">
      <w:pPr>
        <w:pStyle w:val="ListParagraph"/>
        <w:ind w:left="0"/>
      </w:pPr>
      <w:r>
        <w:t xml:space="preserve">       3.  Use of Human Skills and Technology to Access Private Well Owners After         </w:t>
      </w:r>
      <w:r>
        <w:br/>
        <w:t xml:space="preserve">             Hurricane Helene</w:t>
      </w:r>
    </w:p>
    <w:p w14:paraId="61731FBF" w14:textId="1895BEA0" w:rsidR="00F30593" w:rsidRDefault="00F30593" w:rsidP="00F30593">
      <w:pPr>
        <w:pStyle w:val="ListParagraph"/>
        <w:ind w:left="0"/>
      </w:pPr>
    </w:p>
    <w:p w14:paraId="43BECA9B" w14:textId="34872101" w:rsidR="00F30593" w:rsidRDefault="00F30593" w:rsidP="00F30593">
      <w:pPr>
        <w:pStyle w:val="ListParagraph"/>
        <w:ind w:left="0"/>
      </w:pPr>
      <w:r w:rsidRPr="00F30593">
        <w:rPr>
          <w:b/>
          <w:bCs/>
        </w:rPr>
        <w:t>Surveillance and Assessment Tract</w:t>
      </w:r>
      <w:r>
        <w:t xml:space="preserve"> – </w:t>
      </w:r>
    </w:p>
    <w:p w14:paraId="0A5E311D" w14:textId="55473CBA" w:rsidR="00F30593" w:rsidRDefault="00F30593" w:rsidP="00F30593">
      <w:pPr>
        <w:pStyle w:val="ListParagraph"/>
        <w:ind w:left="0"/>
      </w:pPr>
    </w:p>
    <w:p w14:paraId="28F18017" w14:textId="0CAC35F0" w:rsidR="00F30593" w:rsidRDefault="00F30593" w:rsidP="00F30593">
      <w:pPr>
        <w:pStyle w:val="ListParagraph"/>
        <w:numPr>
          <w:ilvl w:val="0"/>
          <w:numId w:val="2"/>
        </w:numPr>
      </w:pPr>
      <w:r>
        <w:t>Incarceration and Health:  Managing Communicable Diseases and Outbreaks</w:t>
      </w:r>
    </w:p>
    <w:p w14:paraId="022079B0" w14:textId="49D1FBF4" w:rsidR="00F30593" w:rsidRDefault="00F30593" w:rsidP="00F30593">
      <w:pPr>
        <w:pStyle w:val="ListParagraph"/>
        <w:numPr>
          <w:ilvl w:val="0"/>
          <w:numId w:val="2"/>
        </w:numPr>
      </w:pPr>
      <w:r>
        <w:t>What We Know Works:  Firearm Violence Prevention Panel</w:t>
      </w:r>
    </w:p>
    <w:p w14:paraId="17BB9211" w14:textId="77D582E3" w:rsidR="00F30593" w:rsidRDefault="00F30593" w:rsidP="00F30593">
      <w:pPr>
        <w:pStyle w:val="ListParagraph"/>
        <w:numPr>
          <w:ilvl w:val="0"/>
          <w:numId w:val="2"/>
        </w:numPr>
      </w:pPr>
      <w:r>
        <w:t>Public Health Actions to Address Extreme Heat in NC</w:t>
      </w:r>
    </w:p>
    <w:p w14:paraId="550B3321" w14:textId="2D98C211" w:rsidR="00F30593" w:rsidRDefault="00F30593" w:rsidP="00EF28DD">
      <w:pPr>
        <w:spacing w:after="0"/>
      </w:pPr>
    </w:p>
    <w:p w14:paraId="77749961" w14:textId="3C850C90" w:rsidR="00F30593" w:rsidRDefault="00F30593" w:rsidP="00471826">
      <w:pPr>
        <w:spacing w:after="0" w:line="240" w:lineRule="auto"/>
      </w:pPr>
      <w:r>
        <w:rPr>
          <w:b/>
          <w:bCs/>
        </w:rPr>
        <w:t xml:space="preserve">Organizational Competencies and Workforce – </w:t>
      </w:r>
      <w:r>
        <w:rPr>
          <w:b/>
          <w:bCs/>
        </w:rPr>
        <w:br/>
      </w:r>
      <w:r>
        <w:br/>
        <w:t xml:space="preserve">        1.  </w:t>
      </w:r>
      <w:r w:rsidR="00E81557">
        <w:t>Utilizing Quality Improvement Methods to Address Immunization Health Equity</w:t>
      </w:r>
    </w:p>
    <w:p w14:paraId="573FD444" w14:textId="2879F495" w:rsidR="00E81557" w:rsidRDefault="00E81557" w:rsidP="00471826">
      <w:pPr>
        <w:spacing w:after="0" w:line="240" w:lineRule="auto"/>
      </w:pPr>
      <w:r>
        <w:t xml:space="preserve">        2.  Data Modernization (ETOR) SLPH Preview</w:t>
      </w:r>
    </w:p>
    <w:p w14:paraId="69A8C1DB" w14:textId="213723CE" w:rsidR="00E81557" w:rsidRDefault="00E81557" w:rsidP="00471826">
      <w:pPr>
        <w:spacing w:after="0" w:line="240" w:lineRule="auto"/>
      </w:pPr>
      <w:r>
        <w:t xml:space="preserve">        3.  Agreement Addenda QI Project:  Creating Procedure out of Practice</w:t>
      </w:r>
    </w:p>
    <w:p w14:paraId="5B654736" w14:textId="5769D75B" w:rsidR="00E81557" w:rsidRDefault="00E81557" w:rsidP="00F30593"/>
    <w:p w14:paraId="6D1CB29D" w14:textId="2A60C9B0" w:rsidR="00E81557" w:rsidRDefault="00E81557" w:rsidP="00F30593">
      <w:pPr>
        <w:rPr>
          <w:b/>
          <w:bCs/>
        </w:rPr>
      </w:pPr>
      <w:r>
        <w:rPr>
          <w:b/>
          <w:bCs/>
        </w:rPr>
        <w:t>Equity in Practice Tract –</w:t>
      </w:r>
    </w:p>
    <w:p w14:paraId="08B7F618" w14:textId="0107DA19" w:rsidR="00F30593" w:rsidRDefault="00E81557" w:rsidP="00471826">
      <w:pPr>
        <w:spacing w:after="0" w:line="240" w:lineRule="auto"/>
      </w:pPr>
      <w:r>
        <w:t xml:space="preserve">        1.  Increasing Access:  ECBI Public Health Vending Machines</w:t>
      </w:r>
    </w:p>
    <w:p w14:paraId="0FC60149" w14:textId="0F4EF78D" w:rsidR="00F30593" w:rsidRDefault="00E81557" w:rsidP="00471826">
      <w:pPr>
        <w:spacing w:after="0" w:line="240" w:lineRule="auto"/>
      </w:pPr>
      <w:r>
        <w:t xml:space="preserve">        2.  Outside the Doctor’s Office:  Using AI to Uncover Social Drivers of Health </w:t>
      </w:r>
      <w:r>
        <w:br/>
        <w:t xml:space="preserve">              Disparities</w:t>
      </w:r>
    </w:p>
    <w:p w14:paraId="637B880E" w14:textId="56BF3DC4" w:rsidR="00471826" w:rsidRDefault="00471826" w:rsidP="00471826">
      <w:pPr>
        <w:spacing w:after="0" w:line="240" w:lineRule="auto"/>
      </w:pPr>
      <w:r>
        <w:t xml:space="preserve">        3.  Equity Data:  A Practical Guided Tour</w:t>
      </w:r>
    </w:p>
    <w:p w14:paraId="6BDEE642" w14:textId="01B15F93" w:rsidR="00471826" w:rsidRDefault="00471826" w:rsidP="00471826">
      <w:pPr>
        <w:spacing w:after="0" w:line="240" w:lineRule="auto"/>
      </w:pPr>
      <w:r>
        <w:t xml:space="preserve">        4.  Firearm Safety Test Teams:  American Foundation for Suicide Prevention</w:t>
      </w:r>
    </w:p>
    <w:p w14:paraId="5B488836" w14:textId="089E7316" w:rsidR="00471826" w:rsidRDefault="00471826" w:rsidP="00471826">
      <w:pPr>
        <w:spacing w:after="0"/>
      </w:pPr>
    </w:p>
    <w:p w14:paraId="41B1D095" w14:textId="4CD64372" w:rsidR="00471826" w:rsidRDefault="00471826" w:rsidP="00E81557">
      <w:pPr>
        <w:rPr>
          <w:b/>
          <w:bCs/>
        </w:rPr>
      </w:pPr>
      <w:r>
        <w:rPr>
          <w:b/>
          <w:bCs/>
        </w:rPr>
        <w:t xml:space="preserve">Communications Tract – </w:t>
      </w:r>
    </w:p>
    <w:p w14:paraId="6A52588E" w14:textId="0BBC76ED" w:rsidR="00471826" w:rsidRDefault="00471826" w:rsidP="00471826">
      <w:pPr>
        <w:pStyle w:val="ListParagraph"/>
        <w:numPr>
          <w:ilvl w:val="0"/>
          <w:numId w:val="5"/>
        </w:numPr>
      </w:pPr>
      <w:r>
        <w:t>Earning Trust in Public Health</w:t>
      </w:r>
    </w:p>
    <w:p w14:paraId="2BB80293" w14:textId="3709AC87" w:rsidR="00471826" w:rsidRDefault="00471826" w:rsidP="00471826">
      <w:pPr>
        <w:pStyle w:val="ListParagraph"/>
        <w:numPr>
          <w:ilvl w:val="0"/>
          <w:numId w:val="5"/>
        </w:numPr>
      </w:pPr>
      <w:r>
        <w:t>Your Elevator Pitch:  Telling Your Story</w:t>
      </w:r>
    </w:p>
    <w:p w14:paraId="092C8379" w14:textId="7674A736" w:rsidR="00471826" w:rsidRDefault="00471826" w:rsidP="00471826">
      <w:pPr>
        <w:pStyle w:val="ListParagraph"/>
        <w:numPr>
          <w:ilvl w:val="0"/>
          <w:numId w:val="5"/>
        </w:numPr>
      </w:pPr>
      <w:r>
        <w:t xml:space="preserve">Frameworks in Review:  Messaging Public Health </w:t>
      </w:r>
    </w:p>
    <w:p w14:paraId="743FA73E" w14:textId="5F4EB271" w:rsidR="00471826" w:rsidRDefault="00471826" w:rsidP="00471826">
      <w:pPr>
        <w:pStyle w:val="ListParagraph"/>
        <w:numPr>
          <w:ilvl w:val="0"/>
          <w:numId w:val="5"/>
        </w:numPr>
      </w:pPr>
      <w:r>
        <w:t>Multimedia Strategies:  Beyond the Press Release – Lessons Learned from the Helene Response</w:t>
      </w:r>
    </w:p>
    <w:p w14:paraId="6920852C" w14:textId="7D92A633" w:rsidR="00471826" w:rsidRDefault="00471826" w:rsidP="00471826"/>
    <w:p w14:paraId="7DFEDE57" w14:textId="2712433D" w:rsidR="00471826" w:rsidRDefault="00471826" w:rsidP="00471826">
      <w:pPr>
        <w:rPr>
          <w:b/>
          <w:bCs/>
        </w:rPr>
      </w:pPr>
      <w:r>
        <w:rPr>
          <w:b/>
          <w:bCs/>
        </w:rPr>
        <w:t>Friday, March 14</w:t>
      </w:r>
      <w:r w:rsidR="00EF28DD">
        <w:rPr>
          <w:b/>
          <w:bCs/>
        </w:rPr>
        <w:t xml:space="preserve"> – Closing Session – 9:00 am – 12:00 pm</w:t>
      </w:r>
    </w:p>
    <w:p w14:paraId="15594974" w14:textId="5A9B2ACD" w:rsidR="00EF28DD" w:rsidRDefault="00EF28DD" w:rsidP="00471826">
      <w:pPr>
        <w:rPr>
          <w:b/>
          <w:bCs/>
        </w:rPr>
      </w:pPr>
      <w:r>
        <w:rPr>
          <w:b/>
          <w:bCs/>
        </w:rPr>
        <w:t>Breakfast 7:30 – 9:00 am</w:t>
      </w:r>
    </w:p>
    <w:p w14:paraId="741A3DD6" w14:textId="06B3DF49" w:rsidR="00EF28DD" w:rsidRPr="00EF28DD" w:rsidRDefault="00EF28DD" w:rsidP="00471826">
      <w:pPr>
        <w:rPr>
          <w:i/>
          <w:iCs/>
        </w:rPr>
      </w:pPr>
      <w:r>
        <w:t xml:space="preserve">Ryan Jenkins, </w:t>
      </w:r>
      <w:r>
        <w:rPr>
          <w:i/>
          <w:iCs/>
        </w:rPr>
        <w:t>Connectable – Age of Isolation</w:t>
      </w:r>
    </w:p>
    <w:p w14:paraId="07501EC3" w14:textId="3D89A1FA" w:rsidR="00EF28DD" w:rsidRDefault="00EF28DD" w:rsidP="00471826">
      <w:r w:rsidRPr="00EF28DD">
        <w:t xml:space="preserve">Climate Change Panel </w:t>
      </w:r>
    </w:p>
    <w:p w14:paraId="6417BEF9" w14:textId="7E063769" w:rsidR="00EF28DD" w:rsidRDefault="00EF28DD" w:rsidP="00471826"/>
    <w:sectPr w:rsidR="00EF2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CC1"/>
    <w:multiLevelType w:val="hybridMultilevel"/>
    <w:tmpl w:val="4F48E874"/>
    <w:lvl w:ilvl="0" w:tplc="E9945DB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8670222"/>
    <w:multiLevelType w:val="hybridMultilevel"/>
    <w:tmpl w:val="C8E48D7A"/>
    <w:lvl w:ilvl="0" w:tplc="8082A34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7683541"/>
    <w:multiLevelType w:val="hybridMultilevel"/>
    <w:tmpl w:val="CA269BA6"/>
    <w:lvl w:ilvl="0" w:tplc="9CFE3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0CE7"/>
    <w:multiLevelType w:val="hybridMultilevel"/>
    <w:tmpl w:val="123ABB6A"/>
    <w:lvl w:ilvl="0" w:tplc="AEFEB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E117A"/>
    <w:multiLevelType w:val="hybridMultilevel"/>
    <w:tmpl w:val="3C145A4C"/>
    <w:lvl w:ilvl="0" w:tplc="E66E8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9748">
    <w:abstractNumId w:val="4"/>
  </w:num>
  <w:num w:numId="2" w16cid:durableId="1851093551">
    <w:abstractNumId w:val="1"/>
  </w:num>
  <w:num w:numId="3" w16cid:durableId="1805075489">
    <w:abstractNumId w:val="0"/>
  </w:num>
  <w:num w:numId="4" w16cid:durableId="1542327939">
    <w:abstractNumId w:val="3"/>
  </w:num>
  <w:num w:numId="5" w16cid:durableId="412704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93"/>
    <w:rsid w:val="00471826"/>
    <w:rsid w:val="00534A9C"/>
    <w:rsid w:val="007D2F9F"/>
    <w:rsid w:val="00E81557"/>
    <w:rsid w:val="00EF28DD"/>
    <w:rsid w:val="00F3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6793"/>
  <w15:chartTrackingRefBased/>
  <w15:docId w15:val="{12EEE709-0806-4DFE-BF5F-DD8437F8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Dittmann</dc:creator>
  <cp:keywords/>
  <dc:description/>
  <cp:lastModifiedBy>Kim Dittmann</cp:lastModifiedBy>
  <cp:revision>2</cp:revision>
  <dcterms:created xsi:type="dcterms:W3CDTF">2025-01-10T19:01:00Z</dcterms:created>
  <dcterms:modified xsi:type="dcterms:W3CDTF">2025-01-10T20:00:00Z</dcterms:modified>
</cp:coreProperties>
</file>